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A3C" w:rsidRPr="009472E3" w:rsidRDefault="00852A3C" w:rsidP="00852A3C">
      <w:pPr>
        <w:pStyle w:val="a4"/>
        <w:spacing w:after="0"/>
        <w:ind w:left="0"/>
        <w:jc w:val="center"/>
        <w:rPr>
          <w:b/>
          <w:sz w:val="28"/>
          <w:szCs w:val="28"/>
        </w:rPr>
      </w:pPr>
      <w:r w:rsidRPr="009472E3">
        <w:rPr>
          <w:b/>
          <w:sz w:val="32"/>
          <w:szCs w:val="28"/>
        </w:rPr>
        <w:t xml:space="preserve">Действия персонала при угрозе </w:t>
      </w:r>
      <w:r>
        <w:rPr>
          <w:b/>
          <w:sz w:val="32"/>
          <w:szCs w:val="28"/>
        </w:rPr>
        <w:t>теракта.</w:t>
      </w:r>
    </w:p>
    <w:p w:rsidR="00852A3C" w:rsidRDefault="00852A3C" w:rsidP="00852A3C">
      <w:pPr>
        <w:spacing w:after="0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sz w:val="28"/>
          <w:szCs w:val="28"/>
        </w:rPr>
        <w:t>Существуют различные способы террористических актов:</w:t>
      </w:r>
    </w:p>
    <w:p w:rsidR="00852A3C" w:rsidRDefault="00852A3C" w:rsidP="00852A3C">
      <w:pPr>
        <w:pStyle w:val="a3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с применением огнестрельного оружия;</w:t>
      </w:r>
    </w:p>
    <w:p w:rsidR="00852A3C" w:rsidRDefault="00852A3C" w:rsidP="00852A3C">
      <w:pPr>
        <w:pStyle w:val="a3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с организацией взрывов и поджогов;</w:t>
      </w:r>
    </w:p>
    <w:p w:rsidR="00852A3C" w:rsidRDefault="00852A3C" w:rsidP="00852A3C">
      <w:pPr>
        <w:pStyle w:val="a3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с применением электромагнитного облучения;</w:t>
      </w:r>
    </w:p>
    <w:p w:rsidR="00852A3C" w:rsidRDefault="00852A3C" w:rsidP="00852A3C">
      <w:pPr>
        <w:pStyle w:val="a3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с применением ядерных зарядов;</w:t>
      </w:r>
    </w:p>
    <w:p w:rsidR="00852A3C" w:rsidRDefault="00852A3C" w:rsidP="00852A3C">
      <w:pPr>
        <w:pStyle w:val="a3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с применением химических и бактериологических средств;</w:t>
      </w:r>
    </w:p>
    <w:p w:rsidR="00852A3C" w:rsidRDefault="00852A3C" w:rsidP="00852A3C">
      <w:pPr>
        <w:pStyle w:val="a3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с использованием информационно-психического воздействия;</w:t>
      </w:r>
    </w:p>
    <w:p w:rsidR="00852A3C" w:rsidRDefault="00852A3C" w:rsidP="00852A3C">
      <w:pPr>
        <w:pStyle w:val="a3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с уничтожением транспортных средств;</w:t>
      </w:r>
    </w:p>
    <w:p w:rsidR="00852A3C" w:rsidRPr="00F039D9" w:rsidRDefault="00852A3C" w:rsidP="00852A3C">
      <w:pPr>
        <w:pStyle w:val="a3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с захватом заложников и др.</w:t>
      </w:r>
    </w:p>
    <w:p w:rsidR="00852A3C" w:rsidRDefault="00852A3C" w:rsidP="00852A3C">
      <w:pPr>
        <w:pStyle w:val="a4"/>
        <w:spacing w:after="0"/>
        <w:ind w:left="0"/>
        <w:jc w:val="both"/>
        <w:rPr>
          <w:sz w:val="28"/>
          <w:szCs w:val="28"/>
        </w:rPr>
      </w:pPr>
      <w:r w:rsidRPr="000D2104">
        <w:rPr>
          <w:sz w:val="28"/>
          <w:szCs w:val="28"/>
        </w:rPr>
        <w:tab/>
        <w:t xml:space="preserve">Не исключено, что террористический акт может быть спланирован с целью захвата заложников. Выбор правильной линии поведения </w:t>
      </w:r>
      <w:r>
        <w:rPr>
          <w:sz w:val="28"/>
          <w:szCs w:val="28"/>
        </w:rPr>
        <w:t xml:space="preserve">заложника </w:t>
      </w:r>
      <w:r w:rsidRPr="000D2104">
        <w:rPr>
          <w:sz w:val="28"/>
          <w:szCs w:val="28"/>
        </w:rPr>
        <w:t>требует наличия соответствующих знаний. Таковыми должны обладать потенциальные жертвы террористических актов и захвата помещений.</w:t>
      </w:r>
      <w:r>
        <w:rPr>
          <w:sz w:val="28"/>
          <w:szCs w:val="28"/>
        </w:rPr>
        <w:t xml:space="preserve"> </w:t>
      </w:r>
      <w:r w:rsidRPr="000D2104">
        <w:rPr>
          <w:sz w:val="28"/>
          <w:szCs w:val="28"/>
        </w:rPr>
        <w:t xml:space="preserve">С момента захвата необходимо контролировать свои действия и фиксировать все, что может способствовать освобождению. Надо постараться запомнить все детали </w:t>
      </w:r>
      <w:r>
        <w:rPr>
          <w:sz w:val="28"/>
          <w:szCs w:val="28"/>
        </w:rPr>
        <w:t>разговора террористов между собой. Если террористы решили осуществить транспортировку с места захвата, необходимо запомнить</w:t>
      </w:r>
      <w:r w:rsidRPr="000D2104">
        <w:rPr>
          <w:sz w:val="28"/>
          <w:szCs w:val="28"/>
        </w:rPr>
        <w:t xml:space="preserve"> время и скорость движения, подъемы и спуски, крутые повороты, остановки у светофоров, железнодорожные переезды, характерные звуки. По возможности все эти сведения надо постараться передать намеком или запиской тем, кто ведет переговоры с преступниками. Если такая возможность не представится, в любом случае помните, что даже самая незначительная информация о «тюрьме для заложника» может оказаться полезной для его освобождения, поимки и изобличения преступников. </w:t>
      </w:r>
    </w:p>
    <w:p w:rsidR="00852A3C" w:rsidRPr="00F43C8E" w:rsidRDefault="00852A3C" w:rsidP="00852A3C">
      <w:pPr>
        <w:pStyle w:val="a4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43C8E">
        <w:rPr>
          <w:sz w:val="28"/>
          <w:szCs w:val="28"/>
        </w:rPr>
        <w:t>Надо запоминать все увиденное и услышанное за время пребывания в заключении</w:t>
      </w:r>
      <w:r>
        <w:rPr>
          <w:sz w:val="28"/>
          <w:szCs w:val="28"/>
        </w:rPr>
        <w:t xml:space="preserve">: </w:t>
      </w:r>
      <w:r w:rsidRPr="00F43C8E">
        <w:rPr>
          <w:sz w:val="28"/>
          <w:szCs w:val="28"/>
        </w:rPr>
        <w:t xml:space="preserve">расположение окон, дверей, лестниц, цвет обоев, специфические запахи, не говоря уже о голосах, внешности и манерах самих преступников. Необходимо также наблюдать за их поведением, внимательно слушать разговоры между собой, запоминать распределение ролей. </w:t>
      </w:r>
    </w:p>
    <w:p w:rsidR="00852A3C" w:rsidRPr="00F43C8E" w:rsidRDefault="00852A3C" w:rsidP="00852A3C">
      <w:pPr>
        <w:pStyle w:val="a4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43C8E">
        <w:rPr>
          <w:sz w:val="28"/>
          <w:szCs w:val="28"/>
        </w:rPr>
        <w:t>Известны случаи, когда похищенным людям удавалось оставлять в местах остановок условные знаки, выбрасывать наружу записки, тем или иным способом отмечать место своего заточения. Однако делать подобные вещи следует осторожно, так как в случае их обнаружения преступниками неизбежно последует суровое наказание.</w:t>
      </w:r>
    </w:p>
    <w:p w:rsidR="00852A3C" w:rsidRPr="00F43C8E" w:rsidRDefault="00852A3C" w:rsidP="00852A3C">
      <w:pPr>
        <w:pStyle w:val="a4"/>
        <w:spacing w:after="0"/>
        <w:ind w:left="0"/>
        <w:jc w:val="both"/>
        <w:rPr>
          <w:sz w:val="28"/>
          <w:szCs w:val="28"/>
        </w:rPr>
      </w:pPr>
      <w:r w:rsidRPr="00597874">
        <w:rPr>
          <w:sz w:val="28"/>
          <w:szCs w:val="28"/>
        </w:rPr>
        <w:tab/>
        <w:t>Человек становится жертвой с момента захвата,</w:t>
      </w:r>
      <w:r w:rsidRPr="00F43C8E">
        <w:rPr>
          <w:sz w:val="28"/>
          <w:szCs w:val="28"/>
        </w:rPr>
        <w:t xml:space="preserve"> и хотя это происходит в разных условиях, жертва всегда испытывает сильное психическое потрясение (шок). Оно обусловлено внезапным резким переходом от фазы </w:t>
      </w:r>
      <w:r w:rsidRPr="00F43C8E">
        <w:rPr>
          <w:sz w:val="28"/>
          <w:szCs w:val="28"/>
        </w:rPr>
        <w:lastRenderedPageBreak/>
        <w:t>спокойствия к фазе стресса. Люди реагируют на такой переход по-разному: одни</w:t>
      </w:r>
      <w:r>
        <w:rPr>
          <w:sz w:val="28"/>
          <w:szCs w:val="28"/>
        </w:rPr>
        <w:t xml:space="preserve"> </w:t>
      </w:r>
      <w:proofErr w:type="gramStart"/>
      <w:r w:rsidRPr="00F43C8E">
        <w:rPr>
          <w:sz w:val="28"/>
          <w:szCs w:val="28"/>
        </w:rPr>
        <w:t>оказываются буквально парализованы</w:t>
      </w:r>
      <w:proofErr w:type="gramEnd"/>
      <w:r w:rsidRPr="00F43C8E">
        <w:rPr>
          <w:sz w:val="28"/>
          <w:szCs w:val="28"/>
        </w:rPr>
        <w:t xml:space="preserve"> страхом, другие</w:t>
      </w:r>
      <w:r>
        <w:rPr>
          <w:sz w:val="28"/>
          <w:szCs w:val="28"/>
        </w:rPr>
        <w:t xml:space="preserve"> </w:t>
      </w:r>
      <w:r w:rsidRPr="00F43C8E">
        <w:rPr>
          <w:sz w:val="28"/>
          <w:szCs w:val="28"/>
        </w:rPr>
        <w:t xml:space="preserve">пытаются дать отпор. Поэтому жизненно важно быстро справиться со своими эмоциями, чтобы вести себя рационально, </w:t>
      </w:r>
      <w:r>
        <w:rPr>
          <w:sz w:val="28"/>
          <w:szCs w:val="28"/>
        </w:rPr>
        <w:t>увеличивая шанс своего спасения и спасения других заложников.</w:t>
      </w:r>
    </w:p>
    <w:p w:rsidR="00852A3C" w:rsidRDefault="00852A3C" w:rsidP="00852A3C">
      <w:pPr>
        <w:pStyle w:val="a4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F1762">
        <w:rPr>
          <w:sz w:val="28"/>
          <w:szCs w:val="28"/>
        </w:rPr>
        <w:t>В тех случаях, когда место содержания заложника и нахождения преступников установлено, спецслужбы стремятся использовать имеющиеся у них технические средства для прослушивания разговоров, ведущихся в помещении. Помнить об этом и в разговоре с бандитами сообщать информацию, которая, будучи перехвачена, может быть использована для подготовки штурма. Особенно важны сведения о ярких и броских приметах, по которым можно отличить заложника от преступника, о вооружении бандитов, об их количестве, расположении внутри помещения, их моральном состоянии и намерениях.</w:t>
      </w:r>
    </w:p>
    <w:p w:rsidR="00852A3C" w:rsidRPr="00BF1762" w:rsidRDefault="00852A3C" w:rsidP="00852A3C">
      <w:pPr>
        <w:pStyle w:val="a4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Сотрудники Центра специального назначения ФСБ России на своем сайте дают подробные инструкции поведения в ЧС, связанных с захватом заложников. В </w:t>
      </w:r>
      <w:r w:rsidRPr="008E07A0">
        <w:rPr>
          <w:color w:val="auto"/>
          <w:sz w:val="28"/>
          <w:szCs w:val="28"/>
        </w:rPr>
        <w:t xml:space="preserve">частности, если вы прикованы наручниками и на вас находится бомба, необходимо без паники </w:t>
      </w:r>
      <w:r w:rsidRPr="008E07A0">
        <w:rPr>
          <w:color w:val="auto"/>
          <w:sz w:val="28"/>
          <w:szCs w:val="28"/>
          <w:shd w:val="clear" w:color="auto" w:fill="FFFFFF"/>
        </w:rPr>
        <w:t xml:space="preserve">голосом или движением руки дать понять об этом сотрудникам спецслужб. </w:t>
      </w:r>
      <w:r>
        <w:rPr>
          <w:color w:val="auto"/>
          <w:sz w:val="28"/>
          <w:szCs w:val="28"/>
          <w:shd w:val="clear" w:color="auto" w:fill="FFFFFF"/>
        </w:rPr>
        <w:t>«</w:t>
      </w:r>
      <w:r w:rsidRPr="008E07A0">
        <w:rPr>
          <w:color w:val="auto"/>
          <w:sz w:val="28"/>
          <w:szCs w:val="28"/>
          <w:shd w:val="clear" w:color="auto" w:fill="FFFFFF"/>
        </w:rPr>
        <w:t>При планировании спецопераций мы осуществляем контроль мест содержания. Поэтому если вы регулярно будете повторять "На мне бомба, на мне бомба...", то те</w:t>
      </w:r>
      <w:r>
        <w:rPr>
          <w:color w:val="auto"/>
          <w:sz w:val="28"/>
          <w:szCs w:val="28"/>
          <w:shd w:val="clear" w:color="auto" w:fill="FFFFFF"/>
        </w:rPr>
        <w:t>,</w:t>
      </w:r>
      <w:r w:rsidRPr="008E07A0">
        <w:rPr>
          <w:color w:val="auto"/>
          <w:sz w:val="28"/>
          <w:szCs w:val="28"/>
          <w:shd w:val="clear" w:color="auto" w:fill="FFFFFF"/>
        </w:rPr>
        <w:t xml:space="preserve"> кому надо, это услышат</w:t>
      </w:r>
      <w:r>
        <w:rPr>
          <w:color w:val="auto"/>
          <w:sz w:val="28"/>
          <w:szCs w:val="28"/>
          <w:shd w:val="clear" w:color="auto" w:fill="FFFFFF"/>
        </w:rPr>
        <w:t>» - пишут в рекомендациях специалисты ФСБ.</w:t>
      </w:r>
    </w:p>
    <w:p w:rsidR="00852A3C" w:rsidRPr="006523F9" w:rsidRDefault="00852A3C" w:rsidP="00852A3C">
      <w:pPr>
        <w:pStyle w:val="a4"/>
        <w:spacing w:after="0"/>
        <w:ind w:left="0"/>
        <w:jc w:val="both"/>
        <w:outlineLvl w:val="0"/>
        <w:rPr>
          <w:bCs/>
          <w:sz w:val="28"/>
          <w:szCs w:val="28"/>
          <w:u w:val="single"/>
        </w:rPr>
      </w:pPr>
      <w:r w:rsidRPr="00437B2B">
        <w:rPr>
          <w:bCs/>
          <w:sz w:val="28"/>
          <w:szCs w:val="28"/>
          <w:u w:val="single"/>
        </w:rPr>
        <w:t>Действия при захвате террористами заложников:</w:t>
      </w:r>
    </w:p>
    <w:p w:rsidR="00852A3C" w:rsidRPr="00437B2B" w:rsidRDefault="00852A3C" w:rsidP="00852A3C">
      <w:pPr>
        <w:pStyle w:val="a4"/>
        <w:numPr>
          <w:ilvl w:val="0"/>
          <w:numId w:val="1"/>
        </w:numPr>
        <w:spacing w:after="0"/>
        <w:ind w:left="284" w:hanging="284"/>
        <w:jc w:val="both"/>
        <w:rPr>
          <w:sz w:val="28"/>
          <w:szCs w:val="28"/>
        </w:rPr>
      </w:pPr>
      <w:r w:rsidRPr="00437B2B">
        <w:rPr>
          <w:sz w:val="28"/>
          <w:szCs w:val="28"/>
        </w:rPr>
        <w:t>о случившемся немедленно соо</w:t>
      </w:r>
      <w:r>
        <w:rPr>
          <w:sz w:val="28"/>
          <w:szCs w:val="28"/>
        </w:rPr>
        <w:t xml:space="preserve">бщить </w:t>
      </w:r>
      <w:r w:rsidRPr="00437B2B">
        <w:rPr>
          <w:sz w:val="28"/>
          <w:szCs w:val="28"/>
        </w:rPr>
        <w:t>руководителю организации</w:t>
      </w:r>
      <w:r>
        <w:rPr>
          <w:sz w:val="28"/>
          <w:szCs w:val="28"/>
        </w:rPr>
        <w:t>, районным и городским службам, оперативному дежурному и по необходимости патрульным (постовым) нарядам полиции, активируя кнопку экстренного вызова полиции (желательно скрытно от нарушителей)</w:t>
      </w:r>
      <w:r w:rsidRPr="00437B2B">
        <w:rPr>
          <w:sz w:val="28"/>
          <w:szCs w:val="28"/>
        </w:rPr>
        <w:t>;</w:t>
      </w:r>
    </w:p>
    <w:p w:rsidR="00852A3C" w:rsidRPr="00437B2B" w:rsidRDefault="00852A3C" w:rsidP="00852A3C">
      <w:pPr>
        <w:pStyle w:val="a4"/>
        <w:numPr>
          <w:ilvl w:val="0"/>
          <w:numId w:val="1"/>
        </w:numPr>
        <w:spacing w:after="0"/>
        <w:ind w:left="284" w:hanging="284"/>
        <w:jc w:val="both"/>
        <w:rPr>
          <w:b/>
          <w:bCs/>
          <w:sz w:val="28"/>
          <w:szCs w:val="28"/>
        </w:rPr>
      </w:pPr>
      <w:r w:rsidRPr="00437B2B">
        <w:rPr>
          <w:bCs/>
          <w:sz w:val="28"/>
          <w:szCs w:val="28"/>
        </w:rPr>
        <w:t>по своей инициативе в переговоры с террористами не вступать;</w:t>
      </w:r>
    </w:p>
    <w:p w:rsidR="00852A3C" w:rsidRPr="00437B2B" w:rsidRDefault="00852A3C" w:rsidP="00852A3C">
      <w:pPr>
        <w:pStyle w:val="a4"/>
        <w:numPr>
          <w:ilvl w:val="0"/>
          <w:numId w:val="1"/>
        </w:numPr>
        <w:spacing w:after="0"/>
        <w:ind w:left="284" w:hanging="284"/>
        <w:jc w:val="both"/>
        <w:rPr>
          <w:sz w:val="28"/>
          <w:szCs w:val="28"/>
        </w:rPr>
      </w:pPr>
      <w:r w:rsidRPr="00437B2B">
        <w:rPr>
          <w:sz w:val="28"/>
          <w:szCs w:val="28"/>
        </w:rPr>
        <w:t>при  необходимости выполнять требования захватчиков, если это не связано с причинением ущерба жизни здоровью людей, не противоречить террористам, не рисковать жизнью окружающих и своей собственной;</w:t>
      </w:r>
    </w:p>
    <w:p w:rsidR="00852A3C" w:rsidRPr="00437B2B" w:rsidRDefault="00852A3C" w:rsidP="00852A3C">
      <w:pPr>
        <w:pStyle w:val="a4"/>
        <w:numPr>
          <w:ilvl w:val="0"/>
          <w:numId w:val="1"/>
        </w:numPr>
        <w:spacing w:after="0"/>
        <w:ind w:left="284" w:hanging="284"/>
        <w:jc w:val="both"/>
        <w:rPr>
          <w:sz w:val="28"/>
          <w:szCs w:val="28"/>
        </w:rPr>
      </w:pPr>
      <w:r w:rsidRPr="00437B2B">
        <w:rPr>
          <w:sz w:val="28"/>
          <w:szCs w:val="28"/>
        </w:rPr>
        <w:t>не</w:t>
      </w:r>
      <w:r>
        <w:rPr>
          <w:sz w:val="28"/>
          <w:szCs w:val="28"/>
        </w:rPr>
        <w:t xml:space="preserve"> провоцировать действия, которые могут</w:t>
      </w:r>
      <w:r w:rsidRPr="00437B2B">
        <w:rPr>
          <w:sz w:val="28"/>
          <w:szCs w:val="28"/>
        </w:rPr>
        <w:t xml:space="preserve"> повлечь за собой применение террористами оружия;</w:t>
      </w:r>
    </w:p>
    <w:p w:rsidR="00852A3C" w:rsidRPr="00437B2B" w:rsidRDefault="00852A3C" w:rsidP="00852A3C">
      <w:pPr>
        <w:pStyle w:val="a4"/>
        <w:numPr>
          <w:ilvl w:val="0"/>
          <w:numId w:val="1"/>
        </w:numPr>
        <w:spacing w:after="0"/>
        <w:ind w:left="284" w:hanging="284"/>
        <w:jc w:val="both"/>
        <w:rPr>
          <w:sz w:val="28"/>
          <w:szCs w:val="28"/>
        </w:rPr>
      </w:pPr>
      <w:r w:rsidRPr="00437B2B">
        <w:rPr>
          <w:sz w:val="28"/>
          <w:szCs w:val="28"/>
        </w:rPr>
        <w:t>обеспечить беспрепятственный проезд (проход) к месту происшествия сотрудников соответствующих органов силовых структур;</w:t>
      </w:r>
    </w:p>
    <w:p w:rsidR="00852A3C" w:rsidRDefault="00852A3C" w:rsidP="00852A3C">
      <w:pPr>
        <w:pStyle w:val="a4"/>
        <w:numPr>
          <w:ilvl w:val="0"/>
          <w:numId w:val="1"/>
        </w:numPr>
        <w:spacing w:after="0"/>
        <w:ind w:left="284" w:hanging="284"/>
        <w:jc w:val="both"/>
        <w:rPr>
          <w:sz w:val="28"/>
          <w:szCs w:val="28"/>
        </w:rPr>
      </w:pPr>
      <w:r w:rsidRPr="00437B2B">
        <w:rPr>
          <w:sz w:val="28"/>
          <w:szCs w:val="28"/>
        </w:rPr>
        <w:t>с прибытием бойцов спецподразделений ФСБ и МВД подробно ответить на вопросы их командиров и обеспечить их работу.</w:t>
      </w:r>
    </w:p>
    <w:p w:rsidR="00852A3C" w:rsidRPr="005A6A9C" w:rsidRDefault="00852A3C" w:rsidP="00852A3C">
      <w:pPr>
        <w:pStyle w:val="a4"/>
        <w:spacing w:after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Согласно ГОСТ –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58485 – 2019 «Оказание охранных услуг на объектах дошкольных, общеобразовательных и профессиональных образовательных организаций» охранник является первым препятствием (барьером) попыткам вноса запрещённых предметов посетителями. </w:t>
      </w:r>
      <w:proofErr w:type="gramStart"/>
      <w:r>
        <w:rPr>
          <w:sz w:val="28"/>
          <w:szCs w:val="28"/>
        </w:rPr>
        <w:t xml:space="preserve">В положении о пропускном и </w:t>
      </w:r>
      <w:proofErr w:type="spellStart"/>
      <w:r>
        <w:rPr>
          <w:sz w:val="28"/>
          <w:szCs w:val="28"/>
        </w:rPr>
        <w:t>внутриобъектовом</w:t>
      </w:r>
      <w:proofErr w:type="spellEnd"/>
      <w:r>
        <w:rPr>
          <w:sz w:val="28"/>
          <w:szCs w:val="28"/>
        </w:rPr>
        <w:t xml:space="preserve"> режимах указывается, что в случае возникновения подозрений в попытке вноса запрещённых предметов, посетители (в том числе учащиеся) могут быть подвергнуты внешнему техническому обследованию с применением стационарного или ручного </w:t>
      </w:r>
      <w:proofErr w:type="spellStart"/>
      <w:r>
        <w:rPr>
          <w:sz w:val="28"/>
          <w:szCs w:val="28"/>
        </w:rPr>
        <w:t>металлодетектора</w:t>
      </w:r>
      <w:proofErr w:type="spellEnd"/>
      <w:r>
        <w:rPr>
          <w:sz w:val="28"/>
          <w:szCs w:val="28"/>
        </w:rPr>
        <w:t xml:space="preserve"> или иных </w:t>
      </w:r>
      <w:proofErr w:type="spellStart"/>
      <w:r>
        <w:rPr>
          <w:sz w:val="28"/>
          <w:szCs w:val="28"/>
        </w:rPr>
        <w:t>ТСО-индикаторов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В случае отказа в проведении осмотра вносимых предметов охранник образовательного учреждения вызывает дежурного администратора и действует согласно требованиям своей должностной инструкции. Ответственность за преступления против общественной безопасности, к  которой относится терроризм, предусматривает наказание, закрепленное в Уголовном кодексе РФ №63-ФЗ Раздел </w:t>
      </w:r>
      <w:r>
        <w:rPr>
          <w:sz w:val="28"/>
          <w:szCs w:val="28"/>
          <w:lang w:val="en-US"/>
        </w:rPr>
        <w:t>IX</w:t>
      </w:r>
      <w:r>
        <w:rPr>
          <w:sz w:val="28"/>
          <w:szCs w:val="28"/>
        </w:rPr>
        <w:t>. Глава 24.</w:t>
      </w:r>
    </w:p>
    <w:p w:rsidR="00852A3C" w:rsidRPr="001155A9" w:rsidRDefault="00852A3C" w:rsidP="00852A3C">
      <w:pPr>
        <w:pStyle w:val="a4"/>
        <w:spacing w:after="0"/>
        <w:ind w:left="0" w:firstLine="284"/>
        <w:jc w:val="both"/>
        <w:rPr>
          <w:bCs/>
          <w:i/>
          <w:sz w:val="28"/>
          <w:szCs w:val="28"/>
          <w:u w:val="single"/>
        </w:rPr>
      </w:pPr>
      <w:r w:rsidRPr="001155A9">
        <w:rPr>
          <w:bCs/>
          <w:i/>
          <w:sz w:val="28"/>
          <w:szCs w:val="28"/>
          <w:u w:val="single"/>
        </w:rPr>
        <w:t>В случае обнаружения подозрительных емкостей, содержащих неизвестные вещества (в порошкообразном, жидком или аэрозольном состоянии), рекомендуется:</w:t>
      </w:r>
    </w:p>
    <w:p w:rsidR="00852A3C" w:rsidRPr="00437B2B" w:rsidRDefault="00852A3C" w:rsidP="00852A3C">
      <w:pPr>
        <w:pStyle w:val="a4"/>
        <w:numPr>
          <w:ilvl w:val="0"/>
          <w:numId w:val="1"/>
        </w:numPr>
        <w:spacing w:after="0"/>
        <w:ind w:left="284" w:hanging="284"/>
        <w:jc w:val="both"/>
        <w:rPr>
          <w:sz w:val="28"/>
          <w:szCs w:val="28"/>
        </w:rPr>
      </w:pPr>
      <w:r w:rsidRPr="00437B2B">
        <w:rPr>
          <w:sz w:val="28"/>
          <w:szCs w:val="28"/>
        </w:rPr>
        <w:t>не пытаться самостоятельно вскрыть емкость, пакет, контейнер и др.;</w:t>
      </w:r>
    </w:p>
    <w:p w:rsidR="00852A3C" w:rsidRPr="00437B2B" w:rsidRDefault="00852A3C" w:rsidP="00852A3C">
      <w:pPr>
        <w:pStyle w:val="a4"/>
        <w:numPr>
          <w:ilvl w:val="0"/>
          <w:numId w:val="1"/>
        </w:numPr>
        <w:spacing w:after="0"/>
        <w:ind w:left="284" w:hanging="284"/>
        <w:jc w:val="both"/>
        <w:rPr>
          <w:sz w:val="28"/>
          <w:szCs w:val="28"/>
        </w:rPr>
      </w:pPr>
      <w:r w:rsidRPr="00437B2B">
        <w:rPr>
          <w:sz w:val="28"/>
          <w:szCs w:val="28"/>
        </w:rPr>
        <w:t>по возможности не брать в руки подозрительное письмо или бандероль;</w:t>
      </w:r>
    </w:p>
    <w:p w:rsidR="00852A3C" w:rsidRPr="00437B2B" w:rsidRDefault="00852A3C" w:rsidP="00852A3C">
      <w:pPr>
        <w:pStyle w:val="a4"/>
        <w:numPr>
          <w:ilvl w:val="0"/>
          <w:numId w:val="1"/>
        </w:numPr>
        <w:spacing w:after="0"/>
        <w:ind w:left="284" w:hanging="284"/>
        <w:jc w:val="both"/>
        <w:rPr>
          <w:sz w:val="28"/>
          <w:szCs w:val="28"/>
        </w:rPr>
      </w:pPr>
      <w:r w:rsidRPr="00437B2B">
        <w:rPr>
          <w:sz w:val="28"/>
          <w:szCs w:val="28"/>
        </w:rPr>
        <w:t>сообщить об этом факте территориальным органам Госсанэпиднадзора, МЧС РФ;</w:t>
      </w:r>
    </w:p>
    <w:p w:rsidR="00852A3C" w:rsidRPr="00437B2B" w:rsidRDefault="00852A3C" w:rsidP="00852A3C">
      <w:pPr>
        <w:pStyle w:val="a4"/>
        <w:numPr>
          <w:ilvl w:val="0"/>
          <w:numId w:val="1"/>
        </w:numPr>
        <w:spacing w:after="0"/>
        <w:ind w:left="284" w:hanging="284"/>
        <w:jc w:val="both"/>
        <w:rPr>
          <w:sz w:val="28"/>
          <w:szCs w:val="28"/>
        </w:rPr>
      </w:pPr>
      <w:r w:rsidRPr="00437B2B">
        <w:rPr>
          <w:sz w:val="28"/>
          <w:szCs w:val="28"/>
        </w:rPr>
        <w:t>убедиться, что подозрительная почта отделена от других писем и бандеролей;</w:t>
      </w:r>
    </w:p>
    <w:p w:rsidR="00852A3C" w:rsidRPr="00437B2B" w:rsidRDefault="00852A3C" w:rsidP="00852A3C">
      <w:pPr>
        <w:pStyle w:val="a4"/>
        <w:numPr>
          <w:ilvl w:val="0"/>
          <w:numId w:val="1"/>
        </w:numPr>
        <w:spacing w:after="0"/>
        <w:ind w:left="284" w:hanging="284"/>
        <w:jc w:val="both"/>
        <w:rPr>
          <w:sz w:val="28"/>
          <w:szCs w:val="28"/>
        </w:rPr>
      </w:pPr>
      <w:r w:rsidRPr="00437B2B">
        <w:rPr>
          <w:sz w:val="28"/>
          <w:szCs w:val="28"/>
        </w:rPr>
        <w:t>в тех случаях, когда в помещении, где обнаружена подозрительная корреспонденция и при этом нарушена целостность упаковки, имеется система вентиляции, предпринять меры, исключающие возможность попадания неизвестного вещества в вентиляционную систему здания;</w:t>
      </w:r>
    </w:p>
    <w:p w:rsidR="00852A3C" w:rsidRPr="00437B2B" w:rsidRDefault="00852A3C" w:rsidP="00852A3C">
      <w:pPr>
        <w:pStyle w:val="a4"/>
        <w:numPr>
          <w:ilvl w:val="0"/>
          <w:numId w:val="1"/>
        </w:numPr>
        <w:spacing w:after="0"/>
        <w:ind w:left="284" w:hanging="284"/>
        <w:jc w:val="both"/>
        <w:rPr>
          <w:sz w:val="28"/>
          <w:szCs w:val="28"/>
        </w:rPr>
      </w:pPr>
      <w:r w:rsidRPr="00437B2B">
        <w:rPr>
          <w:sz w:val="28"/>
          <w:szCs w:val="28"/>
        </w:rPr>
        <w:t>до приезда специалистов поместить подозрительные емкости и предметы в герметичную тару (стеклянный сосуд с плотно прилегающей крышкой или в многослойные пластиковые пакеты). При этом следует пользоваться подручными средствами индивидуальной защиты кожи (резиновые перчатки, полиэтиленовые пакеты) и дыхательных путей (респиратор, марлевая повязка);</w:t>
      </w:r>
    </w:p>
    <w:p w:rsidR="00852A3C" w:rsidRPr="00437B2B" w:rsidRDefault="00852A3C" w:rsidP="00852A3C">
      <w:pPr>
        <w:pStyle w:val="a4"/>
        <w:numPr>
          <w:ilvl w:val="0"/>
          <w:numId w:val="1"/>
        </w:numPr>
        <w:spacing w:after="0"/>
        <w:ind w:left="284" w:hanging="284"/>
        <w:jc w:val="both"/>
        <w:rPr>
          <w:sz w:val="28"/>
          <w:szCs w:val="28"/>
        </w:rPr>
      </w:pPr>
      <w:r w:rsidRPr="00437B2B">
        <w:rPr>
          <w:sz w:val="28"/>
          <w:szCs w:val="28"/>
        </w:rPr>
        <w:t>до приезда специалистов герметично закрытую тару хранить в недоступном для детей и домашних животных месте;</w:t>
      </w:r>
    </w:p>
    <w:p w:rsidR="00852A3C" w:rsidRPr="00437B2B" w:rsidRDefault="00852A3C" w:rsidP="00852A3C">
      <w:pPr>
        <w:pStyle w:val="a4"/>
        <w:numPr>
          <w:ilvl w:val="0"/>
          <w:numId w:val="1"/>
        </w:numPr>
        <w:spacing w:after="0"/>
        <w:ind w:left="284" w:hanging="284"/>
        <w:jc w:val="both"/>
        <w:rPr>
          <w:sz w:val="28"/>
          <w:szCs w:val="28"/>
        </w:rPr>
      </w:pPr>
      <w:r w:rsidRPr="00437B2B">
        <w:rPr>
          <w:sz w:val="28"/>
          <w:szCs w:val="28"/>
        </w:rPr>
        <w:t>составить список всех лиц, кто непосредственно контактировал с подозрительной корреспонденцией (их адреса, телефоны);</w:t>
      </w:r>
    </w:p>
    <w:p w:rsidR="00852A3C" w:rsidRPr="001155A9" w:rsidRDefault="00852A3C" w:rsidP="00852A3C">
      <w:pPr>
        <w:pStyle w:val="a4"/>
        <w:numPr>
          <w:ilvl w:val="0"/>
          <w:numId w:val="1"/>
        </w:numPr>
        <w:spacing w:after="0"/>
        <w:ind w:left="284" w:hanging="284"/>
        <w:jc w:val="both"/>
        <w:rPr>
          <w:sz w:val="28"/>
          <w:szCs w:val="28"/>
        </w:rPr>
      </w:pPr>
      <w:r w:rsidRPr="00437B2B">
        <w:rPr>
          <w:sz w:val="28"/>
          <w:szCs w:val="28"/>
        </w:rPr>
        <w:lastRenderedPageBreak/>
        <w:t>лицам, контактировавшим с подозрительной корреспонденцией, неукоснительно выполнить мероприятия личной гигиены (вымыть руки с мылом, по возможности принять душ) и рекомендации медицинских работников по предупреждению заболевания.</w:t>
      </w:r>
    </w:p>
    <w:p w:rsidR="00307425" w:rsidRDefault="00307425"/>
    <w:sectPr w:rsidR="00307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D7392"/>
    <w:multiLevelType w:val="hybridMultilevel"/>
    <w:tmpl w:val="D876E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682A1A"/>
    <w:multiLevelType w:val="hybridMultilevel"/>
    <w:tmpl w:val="DADE3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52A3C"/>
    <w:rsid w:val="00307425"/>
    <w:rsid w:val="00852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A3C"/>
    <w:pPr>
      <w:ind w:left="720"/>
      <w:contextualSpacing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4">
    <w:name w:val="Body Text Indent"/>
    <w:basedOn w:val="a"/>
    <w:link w:val="a5"/>
    <w:uiPriority w:val="99"/>
    <w:unhideWhenUsed/>
    <w:rsid w:val="00852A3C"/>
    <w:pPr>
      <w:spacing w:after="120"/>
      <w:ind w:left="283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a5">
    <w:name w:val="Основной текст с отступом Знак"/>
    <w:basedOn w:val="a0"/>
    <w:link w:val="a4"/>
    <w:uiPriority w:val="99"/>
    <w:rsid w:val="00852A3C"/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1042</Words>
  <Characters>5943</Characters>
  <Application>Microsoft Office Word</Application>
  <DocSecurity>0</DocSecurity>
  <Lines>49</Lines>
  <Paragraphs>13</Paragraphs>
  <ScaleCrop>false</ScaleCrop>
  <Company/>
  <LinksUpToDate>false</LinksUpToDate>
  <CharactersWithSpaces>6972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2023-06-29T04:26:00Z</dcterms:created>
  <dcterms:modified xsi:type="dcterms:W3CDTF">2023-06-29T04:26:00Z</dcterms:modified>
</cp:coreProperties>
</file>